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E5DB" w14:textId="77777777" w:rsidR="00694365" w:rsidRDefault="00694365" w:rsidP="00694365">
      <w:pPr>
        <w:pageBreakBefore/>
        <w:tabs>
          <w:tab w:val="center" w:pos="7513"/>
        </w:tabs>
        <w:spacing w:line="100" w:lineRule="atLeast"/>
        <w:jc w:val="right"/>
      </w:pPr>
      <w:r>
        <w:rPr>
          <w:rFonts w:ascii="Arial" w:hAnsi="Arial" w:cs="Arial"/>
          <w:b/>
          <w:bCs/>
          <w:sz w:val="16"/>
          <w:szCs w:val="16"/>
        </w:rPr>
        <w:t>Załącznik do Zarządzenia Nr 1769/I/2023</w:t>
      </w:r>
    </w:p>
    <w:p w14:paraId="7730E769" w14:textId="77777777" w:rsidR="00694365" w:rsidRDefault="00694365" w:rsidP="00694365">
      <w:pPr>
        <w:tabs>
          <w:tab w:val="center" w:pos="7513"/>
        </w:tabs>
        <w:spacing w:line="100" w:lineRule="atLeast"/>
        <w:jc w:val="right"/>
      </w:pPr>
      <w:r>
        <w:rPr>
          <w:rFonts w:ascii="Arial" w:hAnsi="Arial" w:cs="Arial"/>
          <w:b/>
          <w:bCs/>
          <w:sz w:val="16"/>
          <w:szCs w:val="16"/>
        </w:rPr>
        <w:t xml:space="preserve">Burmistrza Gołdapi z dnia 13 stycznia 2023 r. </w:t>
      </w:r>
    </w:p>
    <w:p w14:paraId="2A2A93B8" w14:textId="77777777" w:rsidR="00694365" w:rsidRDefault="00694365" w:rsidP="00694365">
      <w:pPr>
        <w:tabs>
          <w:tab w:val="center" w:pos="7513"/>
        </w:tabs>
        <w:spacing w:line="100" w:lineRule="atLeast"/>
        <w:jc w:val="right"/>
        <w:rPr>
          <w:rFonts w:ascii="Arial" w:hAnsi="Arial" w:cs="Arial"/>
          <w:b/>
          <w:bCs/>
          <w:sz w:val="21"/>
          <w:szCs w:val="21"/>
        </w:rPr>
      </w:pPr>
    </w:p>
    <w:p w14:paraId="3E71B4F6" w14:textId="77777777" w:rsidR="00694365" w:rsidRDefault="00694365" w:rsidP="00694365">
      <w:pPr>
        <w:tabs>
          <w:tab w:val="center" w:pos="7513"/>
        </w:tabs>
        <w:spacing w:line="360" w:lineRule="auto"/>
        <w:jc w:val="center"/>
      </w:pPr>
      <w:r>
        <w:rPr>
          <w:rFonts w:ascii="Arial" w:hAnsi="Arial" w:cs="Arial"/>
          <w:b/>
          <w:bCs/>
          <w:sz w:val="21"/>
          <w:szCs w:val="21"/>
        </w:rPr>
        <w:t>Zasady ubiegania się o środki finansowe na realizację zadań objętych Gminnym Programem Profilaktyki i Rozwiązywania Problemów Alkoholowych oraz Przeciwdziałania Narkomanii dla Gminy Gołdap na lata 2023-2026, w roku 2023</w:t>
      </w:r>
    </w:p>
    <w:p w14:paraId="2B382745" w14:textId="77777777" w:rsidR="00694365" w:rsidRDefault="00694365" w:rsidP="00694365">
      <w:pPr>
        <w:tabs>
          <w:tab w:val="center" w:pos="7513"/>
        </w:tabs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4475D1B" w14:textId="77777777" w:rsidR="00694365" w:rsidRDefault="00694365" w:rsidP="00694365">
      <w:pPr>
        <w:spacing w:line="360" w:lineRule="auto"/>
      </w:pPr>
      <w:r>
        <w:rPr>
          <w:rFonts w:ascii="Arial" w:hAnsi="Arial" w:cs="Arial"/>
          <w:b/>
          <w:bCs/>
          <w:sz w:val="21"/>
          <w:szCs w:val="21"/>
        </w:rPr>
        <w:t>I. SKŁADANIE WNIOSKÓW</w:t>
      </w:r>
    </w:p>
    <w:p w14:paraId="60CBA2E2" w14:textId="77777777" w:rsidR="00694365" w:rsidRDefault="00694365" w:rsidP="00694365">
      <w:pPr>
        <w:numPr>
          <w:ilvl w:val="0"/>
          <w:numId w:val="6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Wniosek o dofinansowanie na realizację zadania w ramach Gminnego Programu Profilaktyki i Rozwiązywania Problemów Alkoholowych oraz Przeciwdziałania </w:t>
      </w:r>
      <w:r>
        <w:rPr>
          <w:rFonts w:ascii="Arial" w:hAnsi="Arial" w:cs="Arial"/>
          <w:sz w:val="21"/>
          <w:szCs w:val="21"/>
        </w:rPr>
        <w:br/>
        <w:t xml:space="preserve">Narkomanii dla Gminy Gołdap na lata 2023-2026, w roku 2023 składa się do Burmistrza Gołdapi według ustalonego wzoru stanowiącego Załącznik nr 1 do niniejszych „Zasad". Wzór wniosku do Burmistrza Gołdapi o przyznanie środków finansowych dostępny jest na stronie internetowej Urzędu Miejskiego w Gołdapi </w:t>
      </w:r>
      <w:hyperlink r:id="rId5" w:history="1">
        <w:r>
          <w:rPr>
            <w:rStyle w:val="Hipercze"/>
            <w:rFonts w:ascii="Arial" w:hAnsi="Arial" w:cs="Arial"/>
            <w:sz w:val="21"/>
            <w:szCs w:val="21"/>
          </w:rPr>
          <w:t>www.goldap.pl</w:t>
        </w:r>
      </w:hyperlink>
      <w:r>
        <w:rPr>
          <w:rFonts w:ascii="Arial" w:hAnsi="Arial" w:cs="Arial"/>
          <w:sz w:val="21"/>
          <w:szCs w:val="21"/>
        </w:rPr>
        <w:t xml:space="preserve"> (BIP– Urząd – GKRPA - Wnioski i ogłoszenia).</w:t>
      </w:r>
    </w:p>
    <w:p w14:paraId="7F349C47" w14:textId="77777777" w:rsidR="00694365" w:rsidRDefault="00694365" w:rsidP="00694365">
      <w:pPr>
        <w:numPr>
          <w:ilvl w:val="0"/>
          <w:numId w:val="6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Organizacje pozarządowe, fundacje, stowarzyszenia mogą składać wnioski o ile posiadają zapisy statutowe związane z ochroną i promocją zdrowia, profilaktyką lub rozwiązywaniem problemów alkoholowych, narkomanii i innych uzależnień, wspieraniem rodziny, pieczy zastępczej lub pomocy społecznej, nauki i oświaty, działalności na rzecz dzieci i młodzieży, w tym wypoczynku dzieci i młodzieży, działania w obszarze aktywności fizycznej oraz zdania z zakresu zdrowia publicznego. </w:t>
      </w:r>
    </w:p>
    <w:p w14:paraId="205C4A61" w14:textId="77777777" w:rsidR="00694365" w:rsidRDefault="00694365" w:rsidP="00694365">
      <w:pPr>
        <w:numPr>
          <w:ilvl w:val="0"/>
          <w:numId w:val="6"/>
        </w:numPr>
        <w:spacing w:line="360" w:lineRule="auto"/>
      </w:pPr>
      <w:bookmarkStart w:id="0" w:name="_Hlk122086542"/>
      <w:r>
        <w:rPr>
          <w:rFonts w:ascii="Arial" w:hAnsi="Arial" w:cs="Arial"/>
          <w:sz w:val="21"/>
          <w:szCs w:val="21"/>
        </w:rPr>
        <w:t xml:space="preserve">Do wniosku należy obowiązkowo dołączyć przygotowany scenariusz zajęć profilaktycznych/ program profilaktyczny dotyczący realizacji zadania oraz kopie dokumentów potwierdzające uprawnienia i/lub doświadczenie osób prowadzących zajęcia edukacyjne i profilaktyczne (min. 3). </w:t>
      </w:r>
    </w:p>
    <w:p w14:paraId="0F9E2503" w14:textId="77777777" w:rsidR="00694365" w:rsidRDefault="00694365" w:rsidP="00694365">
      <w:pPr>
        <w:numPr>
          <w:ilvl w:val="0"/>
          <w:numId w:val="6"/>
        </w:numPr>
        <w:spacing w:line="360" w:lineRule="auto"/>
      </w:pP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Wnioskodawca może złożyć maksymalnie dwa wnioski o dofinansowanie na realizację zadań w ramach Gminnego Programu Profilaktyki i Rozwiązywania Problemów Alkoholowych oraz Przeciwdziałania Narkomanii dla Gminy Gołdap na lata 2023-2026,                  w roku 2023.</w:t>
      </w:r>
    </w:p>
    <w:bookmarkEnd w:id="0"/>
    <w:p w14:paraId="40FE994A" w14:textId="77777777" w:rsidR="00694365" w:rsidRDefault="00694365" w:rsidP="00694365">
      <w:pPr>
        <w:numPr>
          <w:ilvl w:val="0"/>
          <w:numId w:val="6"/>
        </w:numPr>
        <w:spacing w:line="360" w:lineRule="auto"/>
      </w:pPr>
      <w:r>
        <w:rPr>
          <w:rFonts w:ascii="Arial" w:hAnsi="Arial" w:cs="Arial"/>
          <w:sz w:val="21"/>
          <w:szCs w:val="21"/>
        </w:rPr>
        <w:t>Ustala się następujące terminy składania wniosków:</w:t>
      </w:r>
    </w:p>
    <w:p w14:paraId="024B8461" w14:textId="77777777" w:rsidR="00694365" w:rsidRDefault="00694365" w:rsidP="00694365">
      <w:pPr>
        <w:numPr>
          <w:ilvl w:val="1"/>
          <w:numId w:val="6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I termin od 16.01.2023 r. do 27.01.2023 r. </w:t>
      </w:r>
    </w:p>
    <w:p w14:paraId="26221E35" w14:textId="77777777" w:rsidR="00694365" w:rsidRDefault="00694365" w:rsidP="00694365">
      <w:pPr>
        <w:numPr>
          <w:ilvl w:val="1"/>
          <w:numId w:val="6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II termin od 17.05.2023 r. do 02.06.2023 r. </w:t>
      </w:r>
    </w:p>
    <w:p w14:paraId="05EDAE1A" w14:textId="77777777" w:rsidR="00694365" w:rsidRDefault="00694365" w:rsidP="00694365">
      <w:pPr>
        <w:numPr>
          <w:ilvl w:val="0"/>
          <w:numId w:val="6"/>
        </w:numPr>
        <w:spacing w:line="360" w:lineRule="auto"/>
      </w:pPr>
      <w:r>
        <w:rPr>
          <w:rFonts w:ascii="Arial" w:hAnsi="Arial" w:cs="Arial"/>
          <w:sz w:val="21"/>
          <w:szCs w:val="21"/>
        </w:rPr>
        <w:lastRenderedPageBreak/>
        <w:t xml:space="preserve">W przypadku, gdy po rozpatrzeniu wniosków w podanym terminie pozostaną niewykorzystane środki finansowe, przewiduje się ogłoszenie terminu naboru wniosków </w:t>
      </w:r>
      <w:r>
        <w:rPr>
          <w:rFonts w:ascii="Arial" w:hAnsi="Arial" w:cs="Arial"/>
          <w:sz w:val="21"/>
          <w:szCs w:val="21"/>
        </w:rPr>
        <w:br/>
        <w:t>w IV kwartale 2023 r.</w:t>
      </w:r>
    </w:p>
    <w:p w14:paraId="0A3CD392" w14:textId="77777777" w:rsidR="00694365" w:rsidRDefault="00694365" w:rsidP="00694365">
      <w:pPr>
        <w:numPr>
          <w:ilvl w:val="0"/>
          <w:numId w:val="6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Dopuszcza się, w szczególnie uzasadnionych przypadkach, możliwość przyznania środków finansowych z pominięciem niniejszych „Zasad”. W takim przypadku wniosek, </w:t>
      </w:r>
      <w:r>
        <w:rPr>
          <w:rFonts w:ascii="Arial" w:hAnsi="Arial" w:cs="Arial"/>
          <w:sz w:val="21"/>
          <w:szCs w:val="21"/>
        </w:rPr>
        <w:br/>
        <w:t xml:space="preserve">o którym mowa w ust. 1 należy złożyć wraz z pisemnym uzasadnieniem, nie później niż </w:t>
      </w:r>
      <w:r>
        <w:rPr>
          <w:rFonts w:ascii="Arial" w:hAnsi="Arial" w:cs="Arial"/>
          <w:sz w:val="21"/>
          <w:szCs w:val="21"/>
        </w:rPr>
        <w:br/>
        <w:t>2 tygodnie przed terminem realizacji zadania. W przypadku niezachowania tego terminu wniosek pozostaje bez rozpatrzenia.</w:t>
      </w:r>
    </w:p>
    <w:p w14:paraId="5A8D3D63" w14:textId="77777777" w:rsidR="00694365" w:rsidRDefault="00694365" w:rsidP="00694365">
      <w:pPr>
        <w:numPr>
          <w:ilvl w:val="0"/>
          <w:numId w:val="6"/>
        </w:numPr>
        <w:spacing w:line="360" w:lineRule="auto"/>
      </w:pPr>
      <w:r>
        <w:rPr>
          <w:rFonts w:ascii="Arial" w:hAnsi="Arial" w:cs="Arial"/>
          <w:sz w:val="21"/>
          <w:szCs w:val="21"/>
        </w:rPr>
        <w:t>Wnioskodawca, nie może złożyć wniosku o dofinasowanie na realizację tego samego zadania, jeżeli złożył już wniosek w innym otwartym konkursie ogłoszonym przez Gminę Gołdap.</w:t>
      </w:r>
    </w:p>
    <w:p w14:paraId="7778E564" w14:textId="77777777" w:rsidR="00694365" w:rsidRDefault="00694365" w:rsidP="00694365">
      <w:pPr>
        <w:spacing w:line="360" w:lineRule="auto"/>
      </w:pPr>
      <w:r>
        <w:rPr>
          <w:rFonts w:ascii="Arial" w:hAnsi="Arial" w:cs="Arial"/>
          <w:b/>
          <w:bCs/>
          <w:sz w:val="21"/>
          <w:szCs w:val="21"/>
        </w:rPr>
        <w:t>II. TRYB ROZPATRYWANIA WNIOSKÓW</w:t>
      </w:r>
    </w:p>
    <w:p w14:paraId="740512C7" w14:textId="77777777" w:rsidR="00694365" w:rsidRDefault="00694365" w:rsidP="00694365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Wnioski złożone na innych formularzach niż obowiązujący wzór pozostaną bez rozpatrzenia.</w:t>
      </w:r>
    </w:p>
    <w:p w14:paraId="01AE5A67" w14:textId="77777777" w:rsidR="00694365" w:rsidRDefault="00694365" w:rsidP="00694365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Złożone wnioski ocenia pod względem formalnym właściwy pracownik Urzędu Miejskiego.</w:t>
      </w:r>
    </w:p>
    <w:p w14:paraId="18CEC982" w14:textId="77777777" w:rsidR="00694365" w:rsidRDefault="00694365" w:rsidP="00694365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Wzór karty oceny formalno-merytorycznej wniosku stanowi Załącznik nr 2 do niniejszych Zasad.</w:t>
      </w:r>
    </w:p>
    <w:p w14:paraId="50153A86" w14:textId="77777777" w:rsidR="00694365" w:rsidRDefault="00694365" w:rsidP="00694365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W razie stwierdzenia ewentualnych braków formalnych właściwy pracownik Urzędu Miejskiego wzywa wnioskodawcę do ich usunięcia w terminie 7 dni kalendarzowych liczonych od dnia wysłania wezwania na adres e-mail podany we wniosku. W przypadku niezachowania terminu uzupełnienia, wniosek jako niespełniający wymogów formalnych pozostaje bez rozpatrzenia. </w:t>
      </w:r>
    </w:p>
    <w:p w14:paraId="5972FD4C" w14:textId="77777777" w:rsidR="00694365" w:rsidRDefault="00694365" w:rsidP="00694365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Kompletny wniosek właściwy pracownik przekazuje Gminnej Komisji Rozwiązywania Problemów Alkoholowych w Gołdapi celem zaopiniowania pod względem merytorycznym. </w:t>
      </w:r>
    </w:p>
    <w:p w14:paraId="2B6C258D" w14:textId="77777777" w:rsidR="00694365" w:rsidRDefault="00694365" w:rsidP="00694365">
      <w:pPr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1"/>
          <w:szCs w:val="21"/>
        </w:rPr>
        <w:t>Gminna Komisja Rozwiązywania Problemów Alkoholowych po ocenie merytorycznej wniosku wydaje rekomendację dofinansowania: „TAK” lub „NIE” oraz podaje proponowaną kwotę dofinansowania.</w:t>
      </w:r>
    </w:p>
    <w:p w14:paraId="6EE95D00" w14:textId="77777777" w:rsidR="00694365" w:rsidRDefault="00694365" w:rsidP="00694365">
      <w:pPr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 w:cs="Arial"/>
          <w:sz w:val="21"/>
          <w:szCs w:val="21"/>
        </w:rPr>
        <w:t xml:space="preserve">Burmistrz Gołdapi po zapoznaniu się z opinią Gminnej Komisji Rozwiązywania Problemów Alkoholowych, podejmuje decyzję dotyczącą dofinansowania bądź braku dofinansowania wniosku oraz stopnia jego dofinansowania. Wnioskodawca o podjętej decyzji jest zawiadomiony na piśmie na adres e-mail podany do doręczeń korespondencji. </w:t>
      </w:r>
    </w:p>
    <w:p w14:paraId="09A1AD7C" w14:textId="77777777" w:rsidR="00694365" w:rsidRDefault="00694365" w:rsidP="00694365">
      <w:pPr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 w:cs="Arial"/>
          <w:sz w:val="21"/>
          <w:szCs w:val="21"/>
        </w:rPr>
        <w:t>Wnioskodawcy nie przysługuje prawo do odwołania się od decyzji Burmistrza Gołdapi.</w:t>
      </w:r>
    </w:p>
    <w:p w14:paraId="1A89117E" w14:textId="77777777" w:rsidR="00694365" w:rsidRDefault="00694365" w:rsidP="00694365">
      <w:pPr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 w:cs="Arial"/>
          <w:sz w:val="21"/>
        </w:rPr>
        <w:lastRenderedPageBreak/>
        <w:t xml:space="preserve">Rozstrzygnięcie naboru wniosków podaje się do publicznej wiadomości na stronie internetowej Urzędu Miejskiego w Gołdapi </w:t>
      </w:r>
      <w:hyperlink r:id="rId6" w:history="1">
        <w:r>
          <w:rPr>
            <w:rStyle w:val="Hipercze"/>
            <w:rFonts w:ascii="Arial" w:hAnsi="Arial" w:cs="Arial"/>
            <w:sz w:val="21"/>
          </w:rPr>
          <w:t>www.goldap.pl</w:t>
        </w:r>
      </w:hyperlink>
      <w:r>
        <w:rPr>
          <w:rFonts w:ascii="Arial" w:hAnsi="Arial" w:cs="Arial"/>
          <w:sz w:val="21"/>
        </w:rPr>
        <w:t xml:space="preserve"> (BIP – Urząd – GKRPA – Wnioski i ogłoszenia). Informacja o rozstrzygnięciu naboru wniosków zawiera: wnioskodawcę (nazwę podmiotu/ imię i nazwisko wnioskodawcy), nazwę zdania oraz kwotę przyznanego dofinansowania). </w:t>
      </w:r>
    </w:p>
    <w:p w14:paraId="1770BF08" w14:textId="77777777" w:rsidR="00694365" w:rsidRDefault="00694365" w:rsidP="00694365">
      <w:pPr>
        <w:spacing w:line="360" w:lineRule="auto"/>
        <w:ind w:left="714"/>
        <w:rPr>
          <w:rFonts w:ascii="Arial" w:hAnsi="Arial" w:cs="Arial"/>
          <w:sz w:val="21"/>
        </w:rPr>
      </w:pPr>
    </w:p>
    <w:p w14:paraId="5B5D487B" w14:textId="77777777" w:rsidR="00694365" w:rsidRDefault="00694365" w:rsidP="00694365">
      <w:pPr>
        <w:spacing w:line="360" w:lineRule="auto"/>
      </w:pPr>
      <w:r>
        <w:rPr>
          <w:rFonts w:ascii="Arial" w:hAnsi="Arial" w:cs="Arial"/>
          <w:b/>
          <w:bCs/>
          <w:sz w:val="21"/>
        </w:rPr>
        <w:t>III. KATALOG DZIAŁAŃ, KTÓRE MOGĄ BYĆ DOFINANSOWANE W RAMACH ZŁOŻONYCH WNIOSKÓW:</w:t>
      </w:r>
    </w:p>
    <w:p w14:paraId="24B287D4" w14:textId="77777777" w:rsidR="00694365" w:rsidRDefault="00694365" w:rsidP="00694365">
      <w:pPr>
        <w:spacing w:line="360" w:lineRule="auto"/>
      </w:pPr>
      <w:r>
        <w:rPr>
          <w:rFonts w:ascii="Arial" w:hAnsi="Arial" w:cs="Arial"/>
          <w:b/>
          <w:bCs/>
          <w:sz w:val="21"/>
        </w:rPr>
        <w:t>PROFILAKTYKA ALKOHOLIZMU I NARKOMANII ORAZ UZALEŻNIEŃ BEHAWIORALNYCH</w:t>
      </w:r>
    </w:p>
    <w:p w14:paraId="70118E21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 xml:space="preserve">Edukacja zdrowotna i profilaktyka uzależnień (uniwersalna, selektywna, wskazująca) realizowana zgodnie z wynikami badań naukowych (w tym epidemiologicznych) oraz dobrą praktyką w dziedzinie przeciwdziałania uzależnieniom. </w:t>
      </w:r>
    </w:p>
    <w:p w14:paraId="6C867814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 xml:space="preserve">Programy profilaktyczne rekomendowane przez Krajowe Centrum Przeciwdziałania Uzależnieniom (KCPU) znajdujące się w bazie programów rekomendowanych: </w:t>
      </w:r>
    </w:p>
    <w:p w14:paraId="7DB98D46" w14:textId="77777777" w:rsidR="00694365" w:rsidRDefault="00694365" w:rsidP="00694365">
      <w:pPr>
        <w:numPr>
          <w:ilvl w:val="0"/>
          <w:numId w:val="9"/>
        </w:numPr>
        <w:spacing w:line="360" w:lineRule="auto"/>
      </w:pPr>
      <w:r>
        <w:rPr>
          <w:rFonts w:ascii="Arial" w:hAnsi="Arial" w:cs="Arial"/>
          <w:sz w:val="21"/>
        </w:rPr>
        <w:t>programy polityki uniwersalnej/ promocji zdrowia psychicznego:</w:t>
      </w:r>
    </w:p>
    <w:p w14:paraId="526DB9EE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</w:rPr>
        <w:t>Apteczka Pierwszej Pomocy Emocjonalnej</w:t>
      </w:r>
    </w:p>
    <w:p w14:paraId="5682B0E8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</w:rPr>
        <w:t>Archipelag Skarbów</w:t>
      </w:r>
    </w:p>
    <w:p w14:paraId="6EC99F20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</w:rPr>
        <w:t>Program ARS, czyli jak dbać o miłość</w:t>
      </w:r>
    </w:p>
    <w:p w14:paraId="47EA8F94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Debata</w:t>
      </w:r>
    </w:p>
    <w:p w14:paraId="0C92EB79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Program Profilaktyczno-Wychowawczy EPSILON</w:t>
      </w:r>
    </w:p>
    <w:p w14:paraId="7B60381A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Fantastyczne Możliwości</w:t>
      </w:r>
    </w:p>
    <w:p w14:paraId="355531A9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Zagrajmy Razem</w:t>
      </w:r>
    </w:p>
    <w:p w14:paraId="205EEFBF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Laboratorium Wiedzy pozytywnej</w:t>
      </w:r>
    </w:p>
    <w:p w14:paraId="75203392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 xml:space="preserve">Poruszające Bajki o Emocjach </w:t>
      </w:r>
    </w:p>
    <w:p w14:paraId="6F67694A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Projekt Lustro</w:t>
      </w:r>
    </w:p>
    <w:p w14:paraId="6D3F2275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Profilaktyczny Bank Dobrych Praktyk</w:t>
      </w:r>
    </w:p>
    <w:p w14:paraId="2A19D5F8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Program Domowych Detektywów</w:t>
      </w:r>
    </w:p>
    <w:p w14:paraId="3C32617D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Trzy Koła</w:t>
      </w:r>
    </w:p>
    <w:p w14:paraId="73D2BC71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Program Wzmacniania Rodziny</w:t>
      </w:r>
    </w:p>
    <w:p w14:paraId="7694388D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 xml:space="preserve">Przyjaciele </w:t>
      </w:r>
      <w:proofErr w:type="spellStart"/>
      <w:r>
        <w:rPr>
          <w:rFonts w:ascii="Arial" w:hAnsi="Arial" w:cs="Arial"/>
          <w:sz w:val="21"/>
          <w:szCs w:val="20"/>
        </w:rPr>
        <w:t>Zippego</w:t>
      </w:r>
      <w:proofErr w:type="spellEnd"/>
    </w:p>
    <w:p w14:paraId="2F4A8304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bookmarkStart w:id="1" w:name="_Hlk122675835"/>
      <w:r>
        <w:rPr>
          <w:rFonts w:ascii="Arial" w:hAnsi="Arial" w:cs="Arial"/>
          <w:sz w:val="21"/>
          <w:szCs w:val="20"/>
        </w:rPr>
        <w:t>Spójrz Inaczej – program zajęć wychowawczo-profilaktycznych dla klas I-III szkół podstawowych</w:t>
      </w:r>
    </w:p>
    <w:bookmarkEnd w:id="1"/>
    <w:p w14:paraId="58910BCA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Spójrz Inaczej – program zajęć wychowawczo-profilaktycznych dla klas IV-VI szkół podstawowych</w:t>
      </w:r>
    </w:p>
    <w:p w14:paraId="4F7E2E55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lastRenderedPageBreak/>
        <w:t>Szkoła dla Rodziców i Wychowawców</w:t>
      </w:r>
    </w:p>
    <w:p w14:paraId="36C44693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proofErr w:type="spellStart"/>
      <w:r>
        <w:rPr>
          <w:rFonts w:ascii="Arial" w:hAnsi="Arial" w:cs="Arial"/>
          <w:sz w:val="21"/>
          <w:szCs w:val="20"/>
        </w:rPr>
        <w:t>Tutoring</w:t>
      </w:r>
      <w:proofErr w:type="spellEnd"/>
      <w:r>
        <w:rPr>
          <w:rFonts w:ascii="Arial" w:hAnsi="Arial" w:cs="Arial"/>
          <w:sz w:val="21"/>
          <w:szCs w:val="20"/>
        </w:rPr>
        <w:t xml:space="preserve"> szkolny</w:t>
      </w:r>
    </w:p>
    <w:p w14:paraId="22D44B1F" w14:textId="77777777" w:rsidR="00694365" w:rsidRDefault="00694365" w:rsidP="00694365">
      <w:pPr>
        <w:numPr>
          <w:ilvl w:val="0"/>
          <w:numId w:val="5"/>
        </w:numPr>
        <w:spacing w:after="120" w:line="360" w:lineRule="auto"/>
        <w:ind w:left="1434" w:hanging="357"/>
      </w:pPr>
      <w:proofErr w:type="spellStart"/>
      <w:r>
        <w:rPr>
          <w:rFonts w:ascii="Arial" w:hAnsi="Arial" w:cs="Arial"/>
          <w:sz w:val="21"/>
          <w:szCs w:val="20"/>
        </w:rPr>
        <w:t>Unpugged</w:t>
      </w:r>
      <w:proofErr w:type="spellEnd"/>
    </w:p>
    <w:p w14:paraId="4552B64F" w14:textId="77777777" w:rsidR="00694365" w:rsidRDefault="00694365" w:rsidP="00694365">
      <w:pPr>
        <w:numPr>
          <w:ilvl w:val="0"/>
          <w:numId w:val="9"/>
        </w:numPr>
        <w:spacing w:line="360" w:lineRule="auto"/>
      </w:pPr>
      <w:r>
        <w:rPr>
          <w:rFonts w:ascii="Arial" w:hAnsi="Arial" w:cs="Arial"/>
          <w:sz w:val="21"/>
          <w:szCs w:val="20"/>
        </w:rPr>
        <w:t>Programy profilaktyki selektywnej/ wskazującej:</w:t>
      </w:r>
    </w:p>
    <w:p w14:paraId="1128CA92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Bezpieczniej w dorosłość</w:t>
      </w:r>
    </w:p>
    <w:p w14:paraId="64EFFCA8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proofErr w:type="spellStart"/>
      <w:r>
        <w:rPr>
          <w:rFonts w:ascii="Arial" w:hAnsi="Arial" w:cs="Arial"/>
          <w:sz w:val="21"/>
          <w:szCs w:val="20"/>
        </w:rPr>
        <w:t>FreD</w:t>
      </w:r>
      <w:proofErr w:type="spellEnd"/>
      <w:r>
        <w:rPr>
          <w:rFonts w:ascii="Arial" w:hAnsi="Arial" w:cs="Arial"/>
          <w:sz w:val="21"/>
          <w:szCs w:val="20"/>
        </w:rPr>
        <w:t xml:space="preserve"> </w:t>
      </w:r>
      <w:proofErr w:type="spellStart"/>
      <w:r>
        <w:rPr>
          <w:rFonts w:ascii="Arial" w:hAnsi="Arial" w:cs="Arial"/>
          <w:sz w:val="21"/>
          <w:szCs w:val="20"/>
        </w:rPr>
        <w:t>goes</w:t>
      </w:r>
      <w:proofErr w:type="spellEnd"/>
      <w:r>
        <w:rPr>
          <w:rFonts w:ascii="Arial" w:hAnsi="Arial" w:cs="Arial"/>
          <w:sz w:val="21"/>
          <w:szCs w:val="20"/>
        </w:rPr>
        <w:t xml:space="preserve"> net</w:t>
      </w:r>
    </w:p>
    <w:p w14:paraId="65BCAD05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Program Nauki zachowania</w:t>
      </w:r>
    </w:p>
    <w:p w14:paraId="1246798D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Program wspomagania rozwoju psychospołecznego dzieci nieśmiałych</w:t>
      </w:r>
    </w:p>
    <w:p w14:paraId="34B1DCCE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Program wspomagania rozwoju psychospołecznego dzieci nielubianych</w:t>
      </w:r>
    </w:p>
    <w:p w14:paraId="2670A8B9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Szkolna Interwencja Profilaktyczna</w:t>
      </w:r>
    </w:p>
    <w:p w14:paraId="4B058B89" w14:textId="77777777" w:rsidR="00694365" w:rsidRDefault="00694365" w:rsidP="00694365">
      <w:pPr>
        <w:numPr>
          <w:ilvl w:val="0"/>
          <w:numId w:val="5"/>
        </w:numPr>
        <w:spacing w:after="120"/>
        <w:ind w:left="1434" w:hanging="357"/>
      </w:pPr>
      <w:r>
        <w:rPr>
          <w:rFonts w:ascii="Arial" w:hAnsi="Arial" w:cs="Arial"/>
          <w:sz w:val="21"/>
          <w:szCs w:val="20"/>
        </w:rPr>
        <w:t>Środowiskowa Profilaktyka Uzależnień.</w:t>
      </w:r>
    </w:p>
    <w:p w14:paraId="2EC6E7CE" w14:textId="77777777" w:rsidR="00694365" w:rsidRDefault="00694365" w:rsidP="00694365">
      <w:pPr>
        <w:numPr>
          <w:ilvl w:val="0"/>
          <w:numId w:val="7"/>
        </w:numPr>
        <w:spacing w:after="120"/>
      </w:pPr>
      <w:r>
        <w:rPr>
          <w:rFonts w:ascii="Arial" w:hAnsi="Arial" w:cs="Arial"/>
          <w:sz w:val="21"/>
          <w:szCs w:val="20"/>
        </w:rPr>
        <w:t>Szczegółowe dane na temat w/w programów rekomendowanych znajdują się pod adresem;</w:t>
      </w:r>
    </w:p>
    <w:p w14:paraId="1FB785EE" w14:textId="77777777" w:rsidR="00694365" w:rsidRDefault="00694365" w:rsidP="00694365">
      <w:pPr>
        <w:spacing w:after="120"/>
        <w:ind w:left="1080"/>
        <w:rPr>
          <w:rFonts w:ascii="Arial" w:hAnsi="Arial" w:cs="Arial"/>
        </w:rPr>
      </w:pPr>
      <w:r>
        <w:rPr>
          <w:rFonts w:ascii="Arial" w:eastAsia="Arial" w:hAnsi="Arial" w:cs="Arial"/>
          <w:sz w:val="21"/>
          <w:szCs w:val="20"/>
        </w:rPr>
        <w:t xml:space="preserve"> </w:t>
      </w:r>
      <w:hyperlink r:id="rId7" w:history="1">
        <w:r>
          <w:rPr>
            <w:rStyle w:val="Hipercze"/>
            <w:rFonts w:ascii="Arial" w:hAnsi="Arial" w:cs="Arial"/>
            <w:sz w:val="21"/>
            <w:szCs w:val="20"/>
          </w:rPr>
          <w:t>http://www.parpa.pl/index.php/profilaktyka-system-rekomendacji/rekomendowane-programy-profilaktyczne</w:t>
        </w:r>
      </w:hyperlink>
    </w:p>
    <w:p w14:paraId="5E99C8DC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</w:rPr>
        <w:t xml:space="preserve">Programy profilaktyczne służące opóźnieniu inicjacji alkoholowej i narkotykowej adresowane do populacji dzieci wchodzących w okres pierwszych eksperymentów </w:t>
      </w:r>
      <w:r>
        <w:rPr>
          <w:rFonts w:ascii="Arial" w:hAnsi="Arial" w:cs="Arial"/>
        </w:rPr>
        <w:br/>
        <w:t>z substancjami psychoaktywnymi.</w:t>
      </w:r>
    </w:p>
    <w:p w14:paraId="4CBB921D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>Programy edukacyjno-profilaktyczne w tym autorskie programy szkolne i środowiskowe dla dzieci i młodzieży oraz rodziców.</w:t>
      </w:r>
    </w:p>
    <w:p w14:paraId="52E1357B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</w:rPr>
        <w:t>Programy z zakresu profilaktyki uzależnień, pomocy psychospołecznej i prawnej oraz ochrony przed przemocą, w tym uwzględniające ochronę zdrowia psychicznego.</w:t>
      </w:r>
    </w:p>
    <w:p w14:paraId="24CD8C72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 xml:space="preserve">Koszty wynagrodzeń realizatorów programów (instruktorów, trenerów, terapeutów, wychowawców, pedagogów, innych osób z uprawnieniami w zakresie realizowanych programów profilaktycznych) oraz </w:t>
      </w:r>
    </w:p>
    <w:p w14:paraId="7C91C64E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 xml:space="preserve">Koszty wynagrodzeń (umowa zlecenie) osób prowadzących zajęcia animacyjne, organizację czasu wolnego, zajęcia sportowe w świetlicach   </w:t>
      </w:r>
    </w:p>
    <w:p w14:paraId="7F7196D1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 xml:space="preserve">Organizacja wypoczynku z elementami rehabilitacji i profilaktyki uzależnień dla dzieci </w:t>
      </w:r>
      <w:r>
        <w:rPr>
          <w:rFonts w:ascii="Arial" w:hAnsi="Arial" w:cs="Arial"/>
          <w:sz w:val="21"/>
        </w:rPr>
        <w:br/>
        <w:t>i młodzieży niepełnosprawnej.</w:t>
      </w:r>
    </w:p>
    <w:p w14:paraId="43B3D320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>Wdrażanie metody wczesnej diagnozy/krótkiej interwencji zagrożeń zdrowotnych wynikających z picia alkoholu, w tym zespołu FAS (płodowy Zespół Alkoholowy).</w:t>
      </w:r>
    </w:p>
    <w:p w14:paraId="64B74E8F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 xml:space="preserve">Działania edukacyjno-profilaktyczne takie jak: </w:t>
      </w:r>
    </w:p>
    <w:p w14:paraId="674DBF47" w14:textId="77777777" w:rsidR="00694365" w:rsidRDefault="00694365" w:rsidP="00694365">
      <w:pPr>
        <w:numPr>
          <w:ilvl w:val="0"/>
          <w:numId w:val="8"/>
        </w:numPr>
        <w:spacing w:line="360" w:lineRule="auto"/>
      </w:pPr>
      <w:r>
        <w:rPr>
          <w:rFonts w:ascii="Arial" w:hAnsi="Arial" w:cs="Arial"/>
          <w:sz w:val="21"/>
        </w:rPr>
        <w:t xml:space="preserve">jednorazowe prelekcje i  pogadanki, </w:t>
      </w:r>
    </w:p>
    <w:p w14:paraId="2CB0063F" w14:textId="77777777" w:rsidR="00694365" w:rsidRDefault="00694365" w:rsidP="00694365">
      <w:pPr>
        <w:numPr>
          <w:ilvl w:val="0"/>
          <w:numId w:val="8"/>
        </w:numPr>
        <w:spacing w:line="360" w:lineRule="auto"/>
      </w:pPr>
      <w:r>
        <w:rPr>
          <w:rFonts w:ascii="Arial" w:hAnsi="Arial" w:cs="Arial"/>
          <w:sz w:val="21"/>
        </w:rPr>
        <w:lastRenderedPageBreak/>
        <w:t xml:space="preserve">spektakle, </w:t>
      </w:r>
    </w:p>
    <w:p w14:paraId="77EC7799" w14:textId="77777777" w:rsidR="00694365" w:rsidRDefault="00694365" w:rsidP="00694365">
      <w:pPr>
        <w:numPr>
          <w:ilvl w:val="0"/>
          <w:numId w:val="8"/>
        </w:numPr>
        <w:spacing w:line="360" w:lineRule="auto"/>
      </w:pPr>
      <w:r>
        <w:rPr>
          <w:rFonts w:ascii="Arial" w:hAnsi="Arial" w:cs="Arial"/>
          <w:sz w:val="21"/>
        </w:rPr>
        <w:t>festyny i inne imprezy plenerowe,</w:t>
      </w:r>
    </w:p>
    <w:p w14:paraId="45B52B2F" w14:textId="77777777" w:rsidR="00694365" w:rsidRDefault="00694365" w:rsidP="00694365">
      <w:pPr>
        <w:numPr>
          <w:ilvl w:val="0"/>
          <w:numId w:val="8"/>
        </w:numPr>
        <w:spacing w:line="360" w:lineRule="auto"/>
      </w:pPr>
      <w:r>
        <w:rPr>
          <w:rFonts w:ascii="Arial" w:hAnsi="Arial" w:cs="Arial"/>
          <w:sz w:val="21"/>
        </w:rPr>
        <w:t>imprezy sportowe (turnieje, wyścigi, olimpiady),</w:t>
      </w:r>
    </w:p>
    <w:p w14:paraId="524674A1" w14:textId="77777777" w:rsidR="00694365" w:rsidRDefault="00694365" w:rsidP="00694365">
      <w:pPr>
        <w:numPr>
          <w:ilvl w:val="0"/>
          <w:numId w:val="8"/>
        </w:numPr>
        <w:spacing w:line="360" w:lineRule="auto"/>
      </w:pPr>
      <w:r>
        <w:rPr>
          <w:rFonts w:ascii="Arial" w:hAnsi="Arial" w:cs="Arial"/>
          <w:sz w:val="21"/>
        </w:rPr>
        <w:t>konkursy.</w:t>
      </w:r>
    </w:p>
    <w:p w14:paraId="73F5140F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0"/>
        </w:rPr>
        <w:t>W przypadku konkursów wymagany jest regulamin konkursu oraz protokół odbioru nagród. Wartość nagrody rzeczowej dla uczestnika konkursu, nie może przekroczyć                     500 zł.</w:t>
      </w:r>
    </w:p>
    <w:p w14:paraId="1C0F7FE8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</w:rPr>
        <w:t>Szkolenia i warsztaty dla nauczycieli i wychowawców, rodziców i uczniów.</w:t>
      </w:r>
    </w:p>
    <w:p w14:paraId="19AAB5E2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t>Szkolenia osób pracujących z rodzinami osób z problemem uzależnień i problemem przemocy.</w:t>
      </w:r>
    </w:p>
    <w:p w14:paraId="45106755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Zakup artykułów papierniczych, materiałów edukacyjno-informacyjnych, ulotek, broszur, książek i filmów DVD o tematyce profilaktycznej, sprzętu niezbędnego do realizacji programów profilaktycznych. </w:t>
      </w:r>
    </w:p>
    <w:p w14:paraId="2159059E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Organizacja zajęć rekreacyjno-sportowych dla dzieci i młodzieży szkolnej jako elementu programów profilaktycznych w szkołach. </w:t>
      </w:r>
    </w:p>
    <w:p w14:paraId="6F393ACA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Organizacja szkolnych zajęć pozalekcyjnych jako elementu programów profilaktycznych w szkołach.  </w:t>
      </w:r>
    </w:p>
    <w:p w14:paraId="019140A9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Organizacja zajęć rekreacyjno-sportowych dla dzieci i młodzieży szkolnej jako elementu programów profilaktycznych. </w:t>
      </w:r>
    </w:p>
    <w:p w14:paraId="3C6A4ED0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Organizacja różnych form spędzania czasu wolnego dla dzieci i młodzieży służących promocji zdrowego stylu życia: półkolonii, kolonii i obozów profilaktycznych, zajęć pozalekcyjnych i pozaszkolnych oraz zajęć sportowych z programem profilaktycznym. </w:t>
      </w:r>
      <w:r>
        <w:rPr>
          <w:rFonts w:ascii="Arial" w:hAnsi="Arial" w:cs="Arial"/>
          <w:sz w:val="21"/>
          <w:szCs w:val="21"/>
        </w:rPr>
        <w:br/>
        <w:t xml:space="preserve">Ze środków można dofinansować transport, noclegi, wyżywienie, zajęcia sportowe, edukacyjne itp.) – wnioski przewidujące takie działania muszą zawierać finansowy wkład własny wnioskodawcy. </w:t>
      </w:r>
    </w:p>
    <w:p w14:paraId="555E5CFA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Zapewnienie dzieciom z rodzin zagrożonych uzależnieniom od alkoholu, narkotyków </w:t>
      </w:r>
      <w:r>
        <w:rPr>
          <w:rFonts w:ascii="Arial" w:hAnsi="Arial" w:cs="Arial"/>
          <w:sz w:val="21"/>
          <w:szCs w:val="21"/>
        </w:rPr>
        <w:br/>
        <w:t xml:space="preserve">i uzależnień behawioralnych, wymagających ochrony przed przemocą w rodzinie: półkolonii, kolonii i obozów profilaktycznych oraz socjoterapeutycznych, profilaktycznych zajęć pozalekcyjnych i pozaszkolnych. </w:t>
      </w:r>
    </w:p>
    <w:p w14:paraId="2021B8D7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</w:rPr>
        <w:t xml:space="preserve">Koszty wyżywienia dzieci i młodzieży o ile wymagane jest to przy realizacji zadania. </w:t>
      </w:r>
    </w:p>
    <w:p w14:paraId="48BCD7A9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lastRenderedPageBreak/>
        <w:t>Kampanie propagujące szkodliwość nadużywania alkoholu, narkotyków, środków psychoaktywnych, i innych uzależnień.</w:t>
      </w:r>
    </w:p>
    <w:p w14:paraId="0FAA5A25" w14:textId="77777777" w:rsidR="00694365" w:rsidRDefault="00694365" w:rsidP="00694365">
      <w:pPr>
        <w:numPr>
          <w:ilvl w:val="0"/>
          <w:numId w:val="7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Inne działania zmierzające do realizacji celów Gminnego Programu Profilaktyki </w:t>
      </w:r>
      <w:r>
        <w:rPr>
          <w:rFonts w:ascii="Arial" w:hAnsi="Arial" w:cs="Arial"/>
          <w:sz w:val="21"/>
          <w:szCs w:val="21"/>
        </w:rPr>
        <w:br/>
        <w:t xml:space="preserve">i Rozwiązywania Problemów Alkoholowych oraz Przeciwdziałania Narkomanii dla Gminy Gołdap na lata 2023-2026 zawarte w rekomendacjach KCPU w 2023 roku. </w:t>
      </w:r>
    </w:p>
    <w:p w14:paraId="1550F890" w14:textId="77777777" w:rsidR="00694365" w:rsidRDefault="00694365" w:rsidP="00694365">
      <w:pPr>
        <w:spacing w:line="360" w:lineRule="auto"/>
        <w:ind w:left="360"/>
      </w:pPr>
      <w:r>
        <w:rPr>
          <w:rFonts w:ascii="Arial" w:hAnsi="Arial" w:cs="Arial"/>
          <w:sz w:val="21"/>
          <w:szCs w:val="21"/>
        </w:rPr>
        <w:t>23. Działania takie jak:</w:t>
      </w:r>
    </w:p>
    <w:p w14:paraId="5E5C6BDA" w14:textId="77777777" w:rsidR="00694365" w:rsidRDefault="00694365" w:rsidP="00694365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1"/>
          <w:szCs w:val="21"/>
        </w:rPr>
        <w:t>udzielanie indywidualnej pomocy materialnej,</w:t>
      </w:r>
    </w:p>
    <w:p w14:paraId="1AA2653C" w14:textId="77777777" w:rsidR="00694365" w:rsidRDefault="00694365" w:rsidP="00694365">
      <w:pPr>
        <w:numPr>
          <w:ilvl w:val="0"/>
          <w:numId w:val="2"/>
        </w:numPr>
        <w:spacing w:line="360" w:lineRule="auto"/>
      </w:pPr>
      <w:r>
        <w:rPr>
          <w:rFonts w:ascii="Arial" w:hAnsi="Arial" w:cs="Arial"/>
          <w:sz w:val="21"/>
          <w:szCs w:val="21"/>
        </w:rPr>
        <w:t>budowa, modernizacja i utrzymanie placu zabaw, boiska sportowego, siłowni, lodowiska.</w:t>
      </w:r>
    </w:p>
    <w:p w14:paraId="63127CDF" w14:textId="77777777" w:rsidR="00694365" w:rsidRDefault="00694365" w:rsidP="00694365">
      <w:pPr>
        <w:spacing w:line="360" w:lineRule="auto"/>
        <w:ind w:firstLine="720"/>
      </w:pPr>
      <w:r>
        <w:rPr>
          <w:rFonts w:ascii="Arial" w:hAnsi="Arial" w:cs="Arial"/>
          <w:i/>
          <w:iCs/>
          <w:sz w:val="21"/>
          <w:szCs w:val="21"/>
        </w:rPr>
        <w:t>mogą być finansowane jedynie z wkładu własnego wnioskodawcy.</w:t>
      </w:r>
    </w:p>
    <w:p w14:paraId="574D5B31" w14:textId="77777777" w:rsidR="00694365" w:rsidRDefault="00694365" w:rsidP="00694365">
      <w:pPr>
        <w:spacing w:line="360" w:lineRule="auto"/>
      </w:pPr>
      <w:r>
        <w:rPr>
          <w:rFonts w:ascii="Arial" w:hAnsi="Arial" w:cs="Arial"/>
          <w:b/>
          <w:bCs/>
          <w:sz w:val="21"/>
          <w:szCs w:val="21"/>
        </w:rPr>
        <w:t>IV. REALIZACJA ZADANIA</w:t>
      </w:r>
    </w:p>
    <w:p w14:paraId="4DB03B05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>Przyznane środki muszą być wydatkowane zgodnie z budżetem zadania zawartym we wniosku  wyłącznie na działania, na które przyznano dofinansowanie.</w:t>
      </w:r>
    </w:p>
    <w:p w14:paraId="7CD50EF2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>Zadanie musi być w całości zrealizowane najpóźniej do dnia 31.12.2023 r. co jest równoznaczne z ostateczną datą ponoszenia wydatków.</w:t>
      </w:r>
    </w:p>
    <w:p w14:paraId="14AB5BD8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Po przyznaniu dofinansowania, nie jest możliwa przez Wnioskodawcę zmiana działań na inne, wcześniej nie ujęte we wniosku (budżet zadania). </w:t>
      </w:r>
    </w:p>
    <w:p w14:paraId="0CEF1FC0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>Realizując zadanie, Wnioskodawca może w uzasadnionych przypadkach dokonać przesunięcia pomiędzy poszczególnymi pozycjami budżetu zadania, na które otrzymał dofinansowanie – po uzyskaniu pisemnej zgody Burmistrza Gołdapi.</w:t>
      </w:r>
    </w:p>
    <w:p w14:paraId="4CA1B7A8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Skrócenie bądź wydłużenie terminu realizacji zadania przez Wnioskodawcę jest możliwe - po uzyskaniu pisemnej zgody Burmistrza Gołdapi. </w:t>
      </w:r>
    </w:p>
    <w:p w14:paraId="730F76A1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W przypadku rezygnacji z realizacji zadania Wnioskodawca jest zobowiązany w formie pisemnej powiadomić Burmistrza Gołdapi. </w:t>
      </w:r>
    </w:p>
    <w:p w14:paraId="3346ED15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>W czasie realizacji zadania wnioskodawca jest zobowiązany do zamieszczania w mediach informacji, iż zadanie realizowane jest z  środków finansowych Gminy Gołdap.</w:t>
      </w:r>
    </w:p>
    <w:p w14:paraId="43021C5D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>Z przyznanych środków finansowych wnioskodawca rozlicza się w ciągu 14 dni od daty zakończenia zadania i składa sprawozdanie z realizacji zadania. Wzór karty sprawozdania stanowi Załącznik nr 3 do niniejszych „Zasad". Do sprawozdania należy dołączyć dokumentację fotograficzną, wydruki ze stron internetowych lub podać linki do stron oraz inną wynikającą z realizacji zadania.</w:t>
      </w:r>
    </w:p>
    <w:p w14:paraId="4306FE8A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eastAsia="Arial" w:hAnsi="Arial" w:cs="Arial"/>
          <w:sz w:val="21"/>
          <w:szCs w:val="21"/>
        </w:rPr>
        <w:lastRenderedPageBreak/>
        <w:t xml:space="preserve"> </w:t>
      </w:r>
      <w:r>
        <w:rPr>
          <w:rFonts w:ascii="Arial" w:hAnsi="Arial" w:cs="Arial"/>
          <w:sz w:val="21"/>
          <w:szCs w:val="21"/>
        </w:rPr>
        <w:t>Przy dokonywaniu wydatków tożsamych rodzajowo, których wartość będzie przekraczać 500 zł brutto, Wnioskodawca zobowiązany jest do przeprowadzenia co najmniej rozeznania rynku, a przy rozliczeniu związanego z zakupem tożsamego wyposażenia, materiałów lub usługi o cenie przekraczającej 500 zł brutto wnioskodawca zobowiązany jest przedłożyć do rozliczenia z dokumentem księgowym (fakturą, notą księgową) dokumenty potwierdzające realizację powyższego wymogu.</w:t>
      </w:r>
    </w:p>
    <w:p w14:paraId="7E5FDD67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Mienie ruchome powyżej 500 zł brutto zakupione przez Wnioskodawcę zgodnie z ust. 9 </w:t>
      </w:r>
      <w:r>
        <w:rPr>
          <w:rFonts w:ascii="Arial" w:hAnsi="Arial" w:cs="Arial"/>
          <w:sz w:val="21"/>
          <w:szCs w:val="21"/>
        </w:rPr>
        <w:br/>
        <w:t xml:space="preserve">w ramach realizowanego zadania, na które otrzymał dofinansowanie w ramach Programu, pozostaje własnością Gminy Gołdap. </w:t>
      </w:r>
    </w:p>
    <w:p w14:paraId="3EBDC07D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>Gmina Gołdap z Wnioskodawcą zawiera umowę użyczenia na zakupione mienie ruchome, o którym mowa w ust. 10, w której zostają określone zasady jego użytkowania, prawa i obowiązki stron. Do umowy dołącza się protokół zdawczo-odbiorczy.</w:t>
      </w:r>
    </w:p>
    <w:p w14:paraId="108E4FDC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Wnioskodawca w ramach umowy użyczenia zobowiązany jest przeprowadzać corocznie inwentaryzację składników mienia i zawiadamiać Gminę Gołdap o wynikach spisu.</w:t>
      </w:r>
    </w:p>
    <w:p w14:paraId="3E9A533C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Burmistrz Gołdapi zastrzega sobie prawo dokonania kontroli Wnioskodawcy, co do prawidłowości wydatkowania przyznanych środków finansowych. Do przedmiotowej kontroli Burmistrz Gołdapi upoważnia Gminną Komisję Rozwiązywania Problemów Alkoholowych w Gołdapi. GKRPA w Gołdapi może kontrolować realizację zadania zgodnie z podanymi  w harmonogramie terminami zajęć oraz kontrolować wydatkowanie środków na działania ujęte w budżecie. Wnioskodawca jest zobowiązany do przedstawienia GKRPA dokumentacji oraz udzielenia informacji dotyczących wykonywania przedsięwzięcia.  </w:t>
      </w:r>
    </w:p>
    <w:p w14:paraId="4177F3FF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</w:rPr>
        <w:t xml:space="preserve">Wnioskodawca jest zobowiązany przedstawić szczegółowy harmonogram realizacji zajęć profilaktycznych, z podaniem terminu, godzin i miejsca realizacji zajęć, na                        </w:t>
      </w:r>
      <w:proofErr w:type="spellStart"/>
      <w:r>
        <w:rPr>
          <w:rFonts w:ascii="Arial" w:hAnsi="Arial" w:cs="Arial"/>
          <w:sz w:val="21"/>
        </w:rPr>
        <w:t>na</w:t>
      </w:r>
      <w:proofErr w:type="spellEnd"/>
      <w:r>
        <w:rPr>
          <w:rFonts w:ascii="Arial" w:hAnsi="Arial" w:cs="Arial"/>
          <w:sz w:val="21"/>
        </w:rPr>
        <w:t xml:space="preserve"> 14 dni przed rozpoczęciem tych zajęć. </w:t>
      </w:r>
    </w:p>
    <w:p w14:paraId="31D85741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Ustalenia kontroli zamieszcza się w protokole kontroli. Wzór protokołu kontroli stanowi Załącznik nr 4 do niniejszych „Zasad”. </w:t>
      </w:r>
    </w:p>
    <w:p w14:paraId="53981561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W przypadku stwierdzenia przez GKRPA w Gołdapi nieprawidłowości podczas kontroli,                     o której mowa w ust. 13, Wnioskodawca w kolejnym naborze, nie może złożyć wniosku                    o dofinansowanie w ramach Programu, o czym jest zawiadamiany przez Komisję pisemnie na adres e-mail podany we wniosku do doręczeń korespondencji. </w:t>
      </w:r>
    </w:p>
    <w:p w14:paraId="0C790FFF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W przypadku przetwarzania danych osobowych beneficjentów oraz osób zaangażowanych w realizację zadania Wnioskodawca zobowiązany jest posiadać zgodę tych osób na przetwarzanie ich danych. Wyrażenie takiej zgody ma charakter oświadczenia woli, musi być jednoznaczne i wyraźne. Może mieć charakter samodzielny, może też być elementem </w:t>
      </w:r>
      <w:r>
        <w:rPr>
          <w:rFonts w:ascii="Arial" w:hAnsi="Arial" w:cs="Arial"/>
          <w:sz w:val="21"/>
          <w:szCs w:val="21"/>
        </w:rPr>
        <w:lastRenderedPageBreak/>
        <w:t xml:space="preserve">innej czynności, np. umowy. Zgoda może upoważniać tylko jeden podmiot do przetwarzania jego danych osobowych, może też odnosić się do dalszych dysponentów danych osobowych. </w:t>
      </w:r>
    </w:p>
    <w:p w14:paraId="1B675061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W przypadku przetwarzania danych osobowych małoletnich czy ubezwłasnowolnionych częściowo niezbędna jest zgoda przedstawiciela ustawowego, wyrażona najpóźniej </w:t>
      </w:r>
      <w:r>
        <w:rPr>
          <w:rFonts w:ascii="Arial" w:hAnsi="Arial" w:cs="Arial"/>
          <w:sz w:val="21"/>
          <w:szCs w:val="21"/>
        </w:rPr>
        <w:br/>
        <w:t>w chwili składania oświadczenia.</w:t>
      </w:r>
    </w:p>
    <w:p w14:paraId="65834931" w14:textId="77777777" w:rsidR="00694365" w:rsidRDefault="00694365" w:rsidP="00694365">
      <w:pPr>
        <w:numPr>
          <w:ilvl w:val="0"/>
          <w:numId w:val="4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Gromadzenie i przetwarzanie danych osobowych powinno być zgodne z przepisami prawnymi dotyczącymi gromadzenia i przetwarzania danych osobowych i spoczywa na Wnioskodawcy. </w:t>
      </w:r>
    </w:p>
    <w:p w14:paraId="789BC03A" w14:textId="77777777" w:rsidR="00694365" w:rsidRDefault="00694365" w:rsidP="00694365">
      <w:pPr>
        <w:spacing w:line="360" w:lineRule="auto"/>
        <w:ind w:left="720"/>
        <w:rPr>
          <w:rFonts w:ascii="Arial" w:hAnsi="Arial" w:cs="Arial"/>
          <w:sz w:val="21"/>
          <w:szCs w:val="21"/>
        </w:rPr>
      </w:pPr>
    </w:p>
    <w:p w14:paraId="0A2A72B3" w14:textId="77777777" w:rsidR="00694365" w:rsidRDefault="00694365" w:rsidP="00694365">
      <w:pPr>
        <w:tabs>
          <w:tab w:val="center" w:pos="6521"/>
        </w:tabs>
        <w:spacing w:line="360" w:lineRule="auto"/>
      </w:pPr>
      <w:r>
        <w:rPr>
          <w:rFonts w:ascii="Arial" w:hAnsi="Arial" w:cs="Arial"/>
          <w:b/>
          <w:bCs/>
          <w:sz w:val="21"/>
          <w:szCs w:val="21"/>
        </w:rPr>
        <w:t>V. ZASADY PRZETWARZANIA DANYCH OSOBOWYCH</w:t>
      </w:r>
    </w:p>
    <w:p w14:paraId="197EF9CC" w14:textId="77777777" w:rsidR="00694365" w:rsidRDefault="00694365" w:rsidP="00694365">
      <w:pPr>
        <w:pStyle w:val="Tekstpodstawowy"/>
        <w:spacing w:line="360" w:lineRule="auto"/>
        <w:ind w:left="454"/>
      </w:pPr>
      <w:r>
        <w:rPr>
          <w:rFonts w:ascii="Arial" w:hAnsi="Arial" w:cs="Arial"/>
          <w:sz w:val="21"/>
          <w:szCs w:val="20"/>
        </w:rPr>
        <w:t xml:space="preserve">W związku z realizacją wymogów Rozporządzenia Parlamentu Europejskiego i Rady (UE) 2016/679 z dnia 27 kwietnia 2016 r. w sprawie ochrony osób fizycznych w związku </w:t>
      </w:r>
      <w:r>
        <w:rPr>
          <w:rFonts w:ascii="Arial" w:hAnsi="Arial" w:cs="Arial"/>
          <w:sz w:val="21"/>
          <w:szCs w:val="20"/>
        </w:rPr>
        <w:br/>
        <w:t xml:space="preserve">z przetwarzaniem danych osobowych i w sprawie swobodnego przepływu takich danych </w:t>
      </w:r>
      <w:r>
        <w:rPr>
          <w:rFonts w:ascii="Arial" w:hAnsi="Arial" w:cs="Arial"/>
          <w:sz w:val="21"/>
          <w:szCs w:val="20"/>
        </w:rPr>
        <w:br/>
        <w:t xml:space="preserve">oraz uchylenia dyrektywy 95/46/WE (ogólne rozporządzenie o ochronie danych „RODO”), informujemy o zasadach przetwarzania Pani/Pana danych osobowych oraz </w:t>
      </w:r>
      <w:r>
        <w:rPr>
          <w:rFonts w:ascii="Arial" w:hAnsi="Arial" w:cs="Arial"/>
          <w:sz w:val="21"/>
          <w:szCs w:val="20"/>
        </w:rPr>
        <w:br/>
        <w:t xml:space="preserve">o przysługujących Pani/Panu prawach z tym związanych. </w:t>
      </w:r>
    </w:p>
    <w:p w14:paraId="3741C680" w14:textId="77777777" w:rsidR="00694365" w:rsidRDefault="00694365" w:rsidP="00694365">
      <w:pPr>
        <w:pStyle w:val="Tekstpodstawowy"/>
        <w:spacing w:line="360" w:lineRule="auto"/>
        <w:ind w:left="454"/>
      </w:pPr>
      <w:r>
        <w:rPr>
          <w:rFonts w:ascii="Arial" w:hAnsi="Arial" w:cs="Arial"/>
          <w:sz w:val="21"/>
          <w:szCs w:val="20"/>
        </w:rPr>
        <w:t xml:space="preserve">1. Administratorem danych osobowych w Gołdapi jest Burmistrz Gołdapi, z siedzibą przy Placu Zwycięstwa 14; 19-500 Gołdap, e-mail: </w:t>
      </w:r>
      <w:hyperlink r:id="rId8" w:history="1">
        <w:r>
          <w:rPr>
            <w:rStyle w:val="Hipercze"/>
            <w:rFonts w:ascii="Arial" w:hAnsi="Arial" w:cs="Arial"/>
            <w:sz w:val="21"/>
            <w:szCs w:val="20"/>
          </w:rPr>
          <w:t>pom@goldap.pl</w:t>
        </w:r>
      </w:hyperlink>
      <w:r>
        <w:rPr>
          <w:rFonts w:ascii="Arial" w:hAnsi="Arial" w:cs="Arial"/>
          <w:sz w:val="21"/>
          <w:szCs w:val="20"/>
        </w:rPr>
        <w:t xml:space="preserve"> tel. 87 615 60 00.</w:t>
      </w:r>
    </w:p>
    <w:p w14:paraId="7168E999" w14:textId="77777777" w:rsidR="00694365" w:rsidRDefault="00694365" w:rsidP="00694365">
      <w:pPr>
        <w:pStyle w:val="Tekstpodstawowy"/>
        <w:spacing w:line="360" w:lineRule="auto"/>
        <w:ind w:left="454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 xml:space="preserve">2. Administrator wyznaczył Inspektora Ochrony Danych nadzorującego prawidłowość przetwarzania danych osobowych, z którym można skontaktować się pisemnie za pomocą adresu e-mail: </w:t>
      </w:r>
      <w:hyperlink r:id="rId9" w:history="1">
        <w:r>
          <w:rPr>
            <w:rStyle w:val="Hipercze"/>
            <w:rFonts w:ascii="Arial" w:hAnsi="Arial" w:cs="Arial"/>
            <w:sz w:val="21"/>
            <w:szCs w:val="20"/>
          </w:rPr>
          <w:t>iod@goldap.pl</w:t>
        </w:r>
      </w:hyperlink>
    </w:p>
    <w:p w14:paraId="60D68F43" w14:textId="77777777" w:rsidR="00694365" w:rsidRDefault="00694365" w:rsidP="00694365">
      <w:pPr>
        <w:pStyle w:val="Tekstpodstawowy"/>
        <w:numPr>
          <w:ilvl w:val="0"/>
          <w:numId w:val="10"/>
        </w:numPr>
        <w:spacing w:line="360" w:lineRule="auto"/>
      </w:pPr>
      <w:r>
        <w:rPr>
          <w:rFonts w:ascii="Arial" w:hAnsi="Arial" w:cs="Arial"/>
          <w:sz w:val="21"/>
          <w:szCs w:val="20"/>
        </w:rPr>
        <w:t xml:space="preserve">Dane osobowe będą przetwarzane w celu rozpatrzenia wniosku </w:t>
      </w:r>
      <w:r>
        <w:rPr>
          <w:rFonts w:ascii="Arial" w:hAnsi="Arial" w:cs="Arial"/>
          <w:sz w:val="21"/>
          <w:szCs w:val="20"/>
        </w:rPr>
        <w:br/>
        <w:t>i ewentualnego przyznania środków finansowych na realizację zadań objętych Gminnym Programem Profilaktyki i Rozwiązywania Problemów Alkoholowych oraz Przeciwdziałania Narkomanii dla Gminny Gołdap na rok 2022.</w:t>
      </w:r>
    </w:p>
    <w:p w14:paraId="2242E0C6" w14:textId="77777777" w:rsidR="00694365" w:rsidRDefault="00694365" w:rsidP="00694365">
      <w:pPr>
        <w:pStyle w:val="Tekstpodstawowy"/>
        <w:numPr>
          <w:ilvl w:val="0"/>
          <w:numId w:val="10"/>
        </w:numPr>
        <w:spacing w:line="360" w:lineRule="auto"/>
      </w:pPr>
      <w:r>
        <w:rPr>
          <w:rFonts w:ascii="Arial" w:hAnsi="Arial" w:cs="Arial"/>
          <w:sz w:val="21"/>
          <w:szCs w:val="20"/>
        </w:rPr>
        <w:t>Podane dane będą przetwarzane na podstawie:</w:t>
      </w:r>
    </w:p>
    <w:p w14:paraId="7AB5C0D3" w14:textId="77777777" w:rsidR="00694365" w:rsidRPr="00C26DA8" w:rsidRDefault="00694365" w:rsidP="00694365">
      <w:pPr>
        <w:pStyle w:val="Tekstpodstawowy"/>
        <w:numPr>
          <w:ilvl w:val="1"/>
          <w:numId w:val="3"/>
        </w:numPr>
        <w:spacing w:line="36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  <w:szCs w:val="20"/>
        </w:rPr>
        <w:t xml:space="preserve">art. 6 ust. 1 lit c RODO - w celu wypełnienia obowiązków prawnych ciążących na Administratorze, tj. w szczególności: Ustawy o wychowaniu w trzeźwości </w:t>
      </w:r>
      <w:r>
        <w:rPr>
          <w:rFonts w:ascii="Arial" w:hAnsi="Arial" w:cs="Arial"/>
          <w:sz w:val="21"/>
          <w:szCs w:val="20"/>
        </w:rPr>
        <w:br/>
        <w:t>i</w:t>
      </w:r>
      <w:r>
        <w:rPr>
          <w:rFonts w:ascii="Arial" w:hAnsi="Arial" w:cs="Arial"/>
          <w:sz w:val="21"/>
        </w:rPr>
        <w:t xml:space="preserve"> przeciwdziałaniu alkoholizmowi, Ustawy o przeciwdziałaniu narkomanii, Ustawy </w:t>
      </w:r>
      <w:r>
        <w:rPr>
          <w:rFonts w:ascii="Arial" w:hAnsi="Arial" w:cs="Arial"/>
          <w:sz w:val="21"/>
        </w:rPr>
        <w:br/>
        <w:t xml:space="preserve">o zdrowiu publicznym, Ustawy o działalności pożytku publicznego i wolontariacie, </w:t>
      </w:r>
      <w:r w:rsidRPr="00C26DA8">
        <w:rPr>
          <w:rFonts w:ascii="Arial" w:hAnsi="Arial" w:cs="Arial"/>
          <w:sz w:val="21"/>
        </w:rPr>
        <w:t>uchwał</w:t>
      </w:r>
      <w:r>
        <w:rPr>
          <w:rFonts w:ascii="Arial" w:hAnsi="Arial" w:cs="Arial"/>
          <w:sz w:val="21"/>
        </w:rPr>
        <w:t>y</w:t>
      </w:r>
      <w:r w:rsidRPr="00C26DA8">
        <w:rPr>
          <w:rFonts w:ascii="Arial" w:hAnsi="Arial" w:cs="Arial"/>
          <w:sz w:val="21"/>
        </w:rPr>
        <w:t xml:space="preserve"> Nr LXIV/475/2022 Rady Miejskiej w Gołdapi z dnia 29 grudnia 2022 r. </w:t>
      </w:r>
      <w:r>
        <w:rPr>
          <w:rFonts w:ascii="Arial" w:hAnsi="Arial" w:cs="Arial"/>
          <w:sz w:val="21"/>
        </w:rPr>
        <w:t xml:space="preserve">                    </w:t>
      </w:r>
      <w:r w:rsidRPr="00C26DA8">
        <w:rPr>
          <w:rFonts w:ascii="Arial" w:hAnsi="Arial" w:cs="Arial"/>
          <w:sz w:val="21"/>
        </w:rPr>
        <w:t xml:space="preserve">w sprawie przyjęcia Gminnego Programu Profilaktyki i Rozwiązywania Problemów </w:t>
      </w:r>
      <w:r w:rsidRPr="00C26DA8">
        <w:rPr>
          <w:rFonts w:ascii="Arial" w:hAnsi="Arial" w:cs="Arial"/>
          <w:sz w:val="21"/>
        </w:rPr>
        <w:lastRenderedPageBreak/>
        <w:t>Alkoholowych oraz Przeciwdziałania Narkomanii dla Gminy Gołdap na lata                         2023-2026</w:t>
      </w:r>
      <w:r>
        <w:rPr>
          <w:rFonts w:ascii="Arial" w:hAnsi="Arial" w:cs="Arial"/>
          <w:sz w:val="21"/>
        </w:rPr>
        <w:t>;</w:t>
      </w:r>
    </w:p>
    <w:p w14:paraId="29B367FF" w14:textId="77777777" w:rsidR="00694365" w:rsidRDefault="00694365" w:rsidP="00694365">
      <w:pPr>
        <w:pStyle w:val="Tekstpodstawowy"/>
        <w:numPr>
          <w:ilvl w:val="1"/>
          <w:numId w:val="3"/>
        </w:numPr>
        <w:spacing w:line="360" w:lineRule="auto"/>
      </w:pPr>
      <w:r>
        <w:rPr>
          <w:rFonts w:ascii="Arial" w:hAnsi="Arial" w:cs="Arial"/>
          <w:sz w:val="21"/>
        </w:rPr>
        <w:t>art. 6 ust. 1 lit e RODO - przetwarzanie jest niezbędne do wykonania zadania realizowanego w interesie publicznym lub w ramach sprawowania władzy publicznej powierzonej administratorowi.</w:t>
      </w:r>
    </w:p>
    <w:p w14:paraId="62A97987" w14:textId="77777777" w:rsidR="00694365" w:rsidRDefault="00694365" w:rsidP="00694365">
      <w:pPr>
        <w:pStyle w:val="Tekstpodstawowy"/>
        <w:numPr>
          <w:ilvl w:val="0"/>
          <w:numId w:val="10"/>
        </w:numPr>
        <w:spacing w:line="360" w:lineRule="auto"/>
      </w:pPr>
      <w:r>
        <w:rPr>
          <w:rFonts w:ascii="Arial" w:hAnsi="Arial" w:cs="Arial"/>
          <w:sz w:val="21"/>
        </w:rPr>
        <w:t xml:space="preserve">Podanie danych jest dobrowolne lecz niezbędne do przyjęcia i rozpatrzenia złożonego wniosku oraz ewentualnego przyznania środków finansowych. </w:t>
      </w:r>
    </w:p>
    <w:p w14:paraId="1AA80C5B" w14:textId="77777777" w:rsidR="00694365" w:rsidRDefault="00694365" w:rsidP="00694365">
      <w:pPr>
        <w:pStyle w:val="Tekstpodstawowy"/>
        <w:numPr>
          <w:ilvl w:val="0"/>
          <w:numId w:val="10"/>
        </w:numPr>
        <w:spacing w:line="360" w:lineRule="auto"/>
      </w:pPr>
      <w:r>
        <w:rPr>
          <w:rFonts w:ascii="Arial" w:hAnsi="Arial" w:cs="Arial"/>
          <w:sz w:val="21"/>
        </w:rPr>
        <w:t xml:space="preserve">W związku z przetwarzaniem danych w celach o których mowa w pkt 3 odbiorcami przekazanych danych osobowych mogą być organy władzy publicznej oraz podmioty wykonujące zadania publiczne lub działające na zlecenie organów władzy publicznej, </w:t>
      </w:r>
      <w:r>
        <w:rPr>
          <w:rFonts w:ascii="Arial" w:hAnsi="Arial" w:cs="Arial"/>
          <w:sz w:val="21"/>
        </w:rPr>
        <w:br/>
        <w:t>w zakresie i w celach, które wynikają z przepisów powszechnie obowiązującego prawa.</w:t>
      </w:r>
    </w:p>
    <w:p w14:paraId="3BEED082" w14:textId="77777777" w:rsidR="00694365" w:rsidRDefault="00694365" w:rsidP="00694365">
      <w:pPr>
        <w:pStyle w:val="Tekstpodstawowy"/>
        <w:numPr>
          <w:ilvl w:val="0"/>
          <w:numId w:val="10"/>
        </w:numPr>
        <w:spacing w:line="360" w:lineRule="auto"/>
      </w:pPr>
      <w:r>
        <w:rPr>
          <w:rFonts w:ascii="Arial" w:hAnsi="Arial" w:cs="Arial"/>
          <w:sz w:val="21"/>
        </w:rPr>
        <w:t xml:space="preserve">Pani/Pana dane osobowe będą przechowywane przez okres niezbędny do realizacji celów określonych w pkt 3, a po tym czasie przez okres oraz w zakresie wymaganym przez przepisy powszechnie obowiązującego prawa, a w szczególności ustawy z dnia </w:t>
      </w:r>
      <w:r>
        <w:rPr>
          <w:rFonts w:ascii="Arial" w:hAnsi="Arial" w:cs="Arial"/>
          <w:sz w:val="21"/>
        </w:rPr>
        <w:br/>
        <w:t xml:space="preserve">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W przypadku wniosku składanego przez osobę fizyczną, dane osobowe wnioskodawcy w zakresie jego imienia i nazwiska zostaną podane do publicznej wiadomości jako że rozstrzygnięcie naboru wniosków zostanie zamieszczone na stronie internetowej Urzędu Miejskiego w Gołdapi (w tym BIP). </w:t>
      </w:r>
    </w:p>
    <w:p w14:paraId="53C1CFB6" w14:textId="77777777" w:rsidR="00694365" w:rsidRDefault="00694365" w:rsidP="00694365">
      <w:pPr>
        <w:pStyle w:val="Tekstpodstawowy"/>
        <w:numPr>
          <w:ilvl w:val="0"/>
          <w:numId w:val="10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W związku z przetwarzaniem Pani/Pana danych osobowych przysługują Pani/Panu następujące uprawnienia: Ma Pani/Pan prawo do żądania od Administratora dostępu do swoich danych osobowych, ich sprostowania oraz ograniczenia przetwarzania. </w:t>
      </w:r>
    </w:p>
    <w:p w14:paraId="4D4A53B4" w14:textId="77777777" w:rsidR="00694365" w:rsidRDefault="00694365" w:rsidP="00694365">
      <w:pPr>
        <w:pStyle w:val="Tekstpodstawowy"/>
        <w:numPr>
          <w:ilvl w:val="0"/>
          <w:numId w:val="10"/>
        </w:numPr>
        <w:spacing w:line="360" w:lineRule="auto"/>
      </w:pPr>
      <w:r>
        <w:rPr>
          <w:rFonts w:ascii="Arial" w:hAnsi="Arial" w:cs="Arial"/>
          <w:sz w:val="21"/>
          <w:szCs w:val="21"/>
        </w:rPr>
        <w:t xml:space="preserve">W przypadku powzięcia informacji o niezgodnym z prawem przetwarzaniu Pani/Pana danych osobowych, przysługuje Pani/Panu prawo wniesienia skargi do organu nadzorczego właściwego w sprawach ochrony danych osobowych tj. Prezesa Urzędu Ochrony Danych Osobowych, adres: Stawki 2, 00-193 Warszawa. </w:t>
      </w:r>
    </w:p>
    <w:p w14:paraId="377A1162" w14:textId="77777777" w:rsidR="00694365" w:rsidRDefault="00694365" w:rsidP="00694365">
      <w:pPr>
        <w:pStyle w:val="Tekstpodstawowy"/>
        <w:numPr>
          <w:ilvl w:val="0"/>
          <w:numId w:val="10"/>
        </w:numPr>
        <w:spacing w:line="360" w:lineRule="auto"/>
      </w:pPr>
      <w:r>
        <w:rPr>
          <w:rFonts w:ascii="Arial" w:hAnsi="Arial" w:cs="Arial"/>
          <w:sz w:val="21"/>
          <w:szCs w:val="21"/>
        </w:rPr>
        <w:t>Pani/Pana dane nie będą poddawane zautomatyzowanemu podejmowaniu decyzji, w tym również profilowaniu.</w:t>
      </w:r>
    </w:p>
    <w:p w14:paraId="2CD20966" w14:textId="77777777" w:rsidR="002927E5" w:rsidRDefault="002927E5"/>
    <w:sectPr w:rsidR="0029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ont465">
    <w:altName w:val="Yu Gothic"/>
    <w:charset w:val="80"/>
    <w:family w:val="roman"/>
    <w:pitch w:val="default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bCs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mbria"/>
        <w:b/>
        <w:bCs/>
        <w:sz w:val="21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SimSun" w:hAnsi="Arial" w:cs="Arial"/>
        <w:sz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sz w:val="21"/>
      </w:rPr>
    </w:lvl>
  </w:abstractNum>
  <w:abstractNum w:abstractNumId="5" w15:restartNumberingAfterBreak="0">
    <w:nsid w:val="0000000D"/>
    <w:multiLevelType w:val="multi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strike w:val="0"/>
        <w:dstrike w:val="0"/>
      </w:rPr>
    </w:lvl>
  </w:abstractNum>
  <w:abstractNum w:abstractNumId="7" w15:restartNumberingAfterBreak="0">
    <w:nsid w:val="00000011"/>
    <w:multiLevelType w:val="single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12"/>
    <w:multiLevelType w:val="singleLevel"/>
    <w:tmpl w:val="00000012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1"/>
      </w:rPr>
    </w:lvl>
  </w:abstractNum>
  <w:abstractNum w:abstractNumId="9" w15:restartNumberingAfterBreak="0">
    <w:nsid w:val="00000015"/>
    <w:multiLevelType w:val="multilevel"/>
    <w:tmpl w:val="00000015"/>
    <w:name w:val="WW8Num2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8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num w:numId="1" w16cid:durableId="1626891865">
    <w:abstractNumId w:val="0"/>
  </w:num>
  <w:num w:numId="2" w16cid:durableId="885681050">
    <w:abstractNumId w:val="1"/>
  </w:num>
  <w:num w:numId="3" w16cid:durableId="1066682046">
    <w:abstractNumId w:val="2"/>
  </w:num>
  <w:num w:numId="4" w16cid:durableId="899167949">
    <w:abstractNumId w:val="3"/>
  </w:num>
  <w:num w:numId="5" w16cid:durableId="212041171">
    <w:abstractNumId w:val="4"/>
  </w:num>
  <w:num w:numId="6" w16cid:durableId="1357272646">
    <w:abstractNumId w:val="5"/>
  </w:num>
  <w:num w:numId="7" w16cid:durableId="135681139">
    <w:abstractNumId w:val="6"/>
  </w:num>
  <w:num w:numId="8" w16cid:durableId="71465860">
    <w:abstractNumId w:val="7"/>
  </w:num>
  <w:num w:numId="9" w16cid:durableId="1074010401">
    <w:abstractNumId w:val="8"/>
  </w:num>
  <w:num w:numId="10" w16cid:durableId="1273633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65"/>
    <w:rsid w:val="002927E5"/>
    <w:rsid w:val="006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9625"/>
  <w15:chartTrackingRefBased/>
  <w15:docId w15:val="{2D6F8D7B-38B7-4ADC-850A-4148D0C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365"/>
    <w:pPr>
      <w:suppressAutoHyphens/>
      <w:spacing w:after="200" w:line="240" w:lineRule="auto"/>
      <w:jc w:val="both"/>
    </w:pPr>
    <w:rPr>
      <w:rFonts w:ascii="Calibri" w:eastAsia="SimSun" w:hAnsi="Calibri" w:cs="font46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4365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6943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365"/>
    <w:rPr>
      <w:rFonts w:ascii="Calibri" w:eastAsia="SimSun" w:hAnsi="Calibri" w:cs="font46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pa.pl/index.php/profilaktyka-system-rekomendacji/rekomendowane-programy-profilaktycz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dap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ldap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2635</Words>
  <Characters>15814</Characters>
  <Application>Microsoft Office Word</Application>
  <DocSecurity>0</DocSecurity>
  <Lines>131</Lines>
  <Paragraphs>36</Paragraphs>
  <ScaleCrop>false</ScaleCrop>
  <Company/>
  <LinksUpToDate>false</LinksUpToDate>
  <CharactersWithSpaces>18413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Dzięcioł</dc:creator>
  <cp:keywords/>
  <dc:description/>
  <cp:lastModifiedBy>Damian Dzięcioł</cp:lastModifiedBy>
  <cp:revision>1</cp:revision>
  <dcterms:created xsi:type="dcterms:W3CDTF">2023-01-16T10:18:00Z</dcterms:created>
  <dcterms:modified xsi:type="dcterms:W3CDTF">2023-01-16T10:19:00Z</dcterms:modified>
</cp:coreProperties>
</file>